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119A" w14:textId="77777777" w:rsidR="001F43CE" w:rsidRDefault="001F43CE" w:rsidP="00E542DC">
      <w:pPr>
        <w:ind w:firstLine="72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D0F317A" wp14:editId="6539B58B">
            <wp:extent cx="5486400" cy="192578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0B93E4D" w14:textId="7C54B4CF" w:rsidR="00A437B2" w:rsidRDefault="00A437B2" w:rsidP="003A72EE">
      <w:pPr>
        <w:rPr>
          <w:b/>
        </w:rPr>
      </w:pPr>
      <w:r w:rsidRPr="005A0332">
        <w:rPr>
          <w:b/>
        </w:rPr>
        <w:t>3:00</w:t>
      </w:r>
      <w:r w:rsidRPr="005A0332">
        <w:rPr>
          <w:b/>
        </w:rPr>
        <w:tab/>
        <w:t>Introduction</w:t>
      </w:r>
      <w:r w:rsidR="0072626B" w:rsidRPr="005A0332">
        <w:rPr>
          <w:b/>
        </w:rPr>
        <w:t xml:space="preserve"> </w:t>
      </w:r>
      <w:r w:rsidR="00D249E5">
        <w:rPr>
          <w:b/>
        </w:rPr>
        <w:t xml:space="preserve">by Dean Morton O’Kelly </w:t>
      </w:r>
      <w:r w:rsidR="0072626B" w:rsidRPr="005A0332">
        <w:rPr>
          <w:b/>
        </w:rPr>
        <w:t xml:space="preserve">and </w:t>
      </w:r>
      <w:r w:rsidR="006560B8">
        <w:rPr>
          <w:b/>
        </w:rPr>
        <w:t xml:space="preserve">the DSC </w:t>
      </w:r>
      <w:r w:rsidR="0072626B" w:rsidRPr="005A0332">
        <w:rPr>
          <w:b/>
        </w:rPr>
        <w:t>Book Lottery</w:t>
      </w:r>
      <w:r w:rsidR="005A0332" w:rsidRPr="005A0332">
        <w:rPr>
          <w:b/>
        </w:rPr>
        <w:t xml:space="preserve"> </w:t>
      </w:r>
    </w:p>
    <w:p w14:paraId="31EBF54E" w14:textId="7B480EE5" w:rsidR="006560B8" w:rsidRPr="005A0332" w:rsidRDefault="006560B8" w:rsidP="006560B8">
      <w:pPr>
        <w:ind w:left="1440"/>
        <w:rPr>
          <w:b/>
        </w:rPr>
      </w:pPr>
      <w:r>
        <w:rPr>
          <w:b/>
          <w:noProof/>
        </w:rPr>
        <w:drawing>
          <wp:inline distT="0" distB="0" distL="0" distR="0" wp14:anchorId="7A6E3E42" wp14:editId="0599501B">
            <wp:extent cx="715617" cy="1079292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 Duke bo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82" cy="111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4D4479F7" wp14:editId="5707DD6F">
            <wp:extent cx="715617" cy="1079292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 Duke bo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82" cy="111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1670733C" wp14:editId="73018B00">
            <wp:extent cx="715617" cy="1079292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 Duke bo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82" cy="111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29178" w14:textId="1D3E86C6" w:rsidR="00417E16" w:rsidRPr="005A0332" w:rsidRDefault="00A437B2" w:rsidP="00C407D0">
      <w:pPr>
        <w:spacing w:after="80"/>
        <w:rPr>
          <w:b/>
        </w:rPr>
      </w:pPr>
      <w:r w:rsidRPr="005A0332">
        <w:rPr>
          <w:b/>
        </w:rPr>
        <w:t>3:</w:t>
      </w:r>
      <w:r w:rsidR="0072626B" w:rsidRPr="005A0332">
        <w:rPr>
          <w:b/>
        </w:rPr>
        <w:t>10</w:t>
      </w:r>
      <w:r w:rsidRPr="005A0332">
        <w:rPr>
          <w:b/>
        </w:rPr>
        <w:tab/>
        <w:t xml:space="preserve">Brief 4-minute “elevator talks” by </w:t>
      </w:r>
      <w:r w:rsidR="005A0332" w:rsidRPr="005A0332">
        <w:rPr>
          <w:b/>
        </w:rPr>
        <w:t>DSC faculty members</w:t>
      </w:r>
      <w:r w:rsidRPr="005A0332">
        <w:rPr>
          <w:b/>
        </w:rPr>
        <w:t xml:space="preserve">. </w:t>
      </w:r>
    </w:p>
    <w:p w14:paraId="4D97E577" w14:textId="5EA36A74" w:rsidR="00A437B2" w:rsidRPr="005A0332" w:rsidRDefault="00A437B2" w:rsidP="00E542DC">
      <w:pPr>
        <w:spacing w:after="80"/>
        <w:ind w:left="720"/>
        <w:rPr>
          <w:i/>
        </w:rPr>
      </w:pPr>
      <w:r w:rsidRPr="005A0332">
        <w:rPr>
          <w:i/>
        </w:rPr>
        <w:t xml:space="preserve">These talks will </w:t>
      </w:r>
      <w:r w:rsidR="003A72EE" w:rsidRPr="005A0332">
        <w:rPr>
          <w:i/>
        </w:rPr>
        <w:t>provide brief overview</w:t>
      </w:r>
      <w:r w:rsidR="006416E2" w:rsidRPr="005A0332">
        <w:rPr>
          <w:i/>
        </w:rPr>
        <w:t>s</w:t>
      </w:r>
      <w:r w:rsidR="003A72EE" w:rsidRPr="005A0332">
        <w:rPr>
          <w:i/>
        </w:rPr>
        <w:t xml:space="preserve"> of </w:t>
      </w:r>
      <w:r w:rsidRPr="005A0332">
        <w:rPr>
          <w:i/>
        </w:rPr>
        <w:t xml:space="preserve">some </w:t>
      </w:r>
      <w:r w:rsidR="007175CF" w:rsidRPr="005A0332">
        <w:rPr>
          <w:i/>
        </w:rPr>
        <w:t xml:space="preserve">of OSU’s existing research in the </w:t>
      </w:r>
      <w:r w:rsidRPr="005A0332">
        <w:rPr>
          <w:i/>
        </w:rPr>
        <w:t>decision sciences</w:t>
      </w:r>
      <w:r w:rsidR="003A72EE" w:rsidRPr="005A0332">
        <w:rPr>
          <w:i/>
        </w:rPr>
        <w:t xml:space="preserve">.  </w:t>
      </w:r>
      <w:r w:rsidRPr="005A0332">
        <w:rPr>
          <w:i/>
        </w:rPr>
        <w:t>The</w:t>
      </w:r>
      <w:r w:rsidR="007175CF" w:rsidRPr="005A0332">
        <w:rPr>
          <w:i/>
        </w:rPr>
        <w:t xml:space="preserve"> talks</w:t>
      </w:r>
      <w:r w:rsidRPr="005A0332">
        <w:rPr>
          <w:i/>
        </w:rPr>
        <w:t xml:space="preserve"> are intended</w:t>
      </w:r>
      <w:r w:rsidR="003A72EE" w:rsidRPr="005A0332">
        <w:rPr>
          <w:i/>
        </w:rPr>
        <w:t xml:space="preserve"> to promote greater knowledge of what we have to offer each other and hopefully propel </w:t>
      </w:r>
      <w:r w:rsidR="007175CF" w:rsidRPr="005A0332">
        <w:rPr>
          <w:i/>
        </w:rPr>
        <w:t xml:space="preserve">new and interesting </w:t>
      </w:r>
      <w:r w:rsidR="003A72EE" w:rsidRPr="005A0332">
        <w:rPr>
          <w:i/>
        </w:rPr>
        <w:t>collaborations.</w:t>
      </w:r>
      <w:r w:rsidR="00B97B65" w:rsidRPr="005A0332">
        <w:rPr>
          <w:i/>
        </w:rPr>
        <w:t xml:space="preserve"> </w:t>
      </w:r>
    </w:p>
    <w:p w14:paraId="7B65455F" w14:textId="2564DDD5" w:rsidR="001E6D97" w:rsidRPr="00C1619B" w:rsidRDefault="00904385" w:rsidP="00E542DC">
      <w:pPr>
        <w:spacing w:after="80"/>
        <w:ind w:left="720"/>
      </w:pPr>
      <w:r w:rsidRPr="00C1619B">
        <w:rPr>
          <w:b/>
        </w:rPr>
        <w:t>Robert Lount</w:t>
      </w:r>
      <w:r w:rsidR="001E6D97" w:rsidRPr="00C1619B">
        <w:rPr>
          <w:b/>
        </w:rPr>
        <w:t xml:space="preserve"> (</w:t>
      </w:r>
      <w:r w:rsidRPr="00C1619B">
        <w:rPr>
          <w:b/>
        </w:rPr>
        <w:t>Management and Human Resources, Fisher College</w:t>
      </w:r>
      <w:r w:rsidR="001E6D97" w:rsidRPr="00C1619B">
        <w:rPr>
          <w:b/>
        </w:rPr>
        <w:t>)</w:t>
      </w:r>
      <w:r w:rsidR="001E6D97" w:rsidRPr="00C1619B">
        <w:t xml:space="preserve"> </w:t>
      </w:r>
      <w:r w:rsidR="00461BF8" w:rsidRPr="00C1619B">
        <w:rPr>
          <w:b/>
          <w:bCs/>
        </w:rPr>
        <w:t>"</w:t>
      </w:r>
      <w:r w:rsidR="00671A9A" w:rsidRPr="00671A9A">
        <w:t>Promoting high quality agreements in team-on-team negotiations</w:t>
      </w:r>
      <w:r w:rsidR="00461BF8" w:rsidRPr="00C1619B">
        <w:t>"</w:t>
      </w:r>
      <w:r w:rsidR="00152287" w:rsidRPr="00C1619B">
        <w:t xml:space="preserve"> </w:t>
      </w:r>
    </w:p>
    <w:p w14:paraId="77972A23" w14:textId="67E26F9A" w:rsidR="002F65B9" w:rsidRPr="00C1619B" w:rsidRDefault="002F65B9" w:rsidP="002F65B9">
      <w:pPr>
        <w:spacing w:after="80"/>
        <w:ind w:left="720"/>
      </w:pPr>
      <w:r>
        <w:rPr>
          <w:b/>
        </w:rPr>
        <w:t>Clara Lee</w:t>
      </w:r>
      <w:r w:rsidRPr="00C1619B">
        <w:rPr>
          <w:b/>
        </w:rPr>
        <w:t xml:space="preserve"> (Medicine) </w:t>
      </w:r>
      <w:r w:rsidRPr="00C1619B">
        <w:t>“</w:t>
      </w:r>
      <w:r w:rsidR="006153F7" w:rsidRPr="006153F7">
        <w:t>How do women with breast cancer make decisions about surgery?</w:t>
      </w:r>
      <w:r w:rsidRPr="00C1619B">
        <w:t xml:space="preserve">” </w:t>
      </w:r>
    </w:p>
    <w:p w14:paraId="7D3870E1" w14:textId="66372973" w:rsidR="002F65B9" w:rsidRPr="00C1619B" w:rsidRDefault="002F65B9" w:rsidP="002F65B9">
      <w:pPr>
        <w:spacing w:after="80"/>
        <w:ind w:left="720"/>
      </w:pPr>
      <w:r w:rsidRPr="00C1619B">
        <w:rPr>
          <w:b/>
        </w:rPr>
        <w:t xml:space="preserve">Selin Malkoc (Marketing &amp; Logistics, Fisher College) </w:t>
      </w:r>
      <w:r w:rsidRPr="00C1619B">
        <w:t>“</w:t>
      </w:r>
      <w:r w:rsidR="004C0D30" w:rsidRPr="004C0D30">
        <w:t>Time as a Resource: Decision about Allocating and Consuming Time</w:t>
      </w:r>
      <w:r w:rsidRPr="00C1619B">
        <w:t xml:space="preserve">” </w:t>
      </w:r>
    </w:p>
    <w:p w14:paraId="574AE9BC" w14:textId="5B6C0B96" w:rsidR="00A437B2" w:rsidRPr="00C1619B" w:rsidRDefault="0006604F" w:rsidP="00E542DC">
      <w:pPr>
        <w:spacing w:after="80"/>
        <w:ind w:left="720"/>
      </w:pPr>
      <w:r w:rsidRPr="00C1619B">
        <w:rPr>
          <w:b/>
        </w:rPr>
        <w:t>Ian Krajbich</w:t>
      </w:r>
      <w:r w:rsidR="00D8083E" w:rsidRPr="00C1619B">
        <w:rPr>
          <w:b/>
        </w:rPr>
        <w:t xml:space="preserve"> </w:t>
      </w:r>
      <w:r w:rsidR="00DF7693" w:rsidRPr="00C1619B">
        <w:rPr>
          <w:b/>
        </w:rPr>
        <w:t>(</w:t>
      </w:r>
      <w:r w:rsidR="009C53EF" w:rsidRPr="00C1619B">
        <w:rPr>
          <w:b/>
        </w:rPr>
        <w:t>Psychology</w:t>
      </w:r>
      <w:r w:rsidR="00904385" w:rsidRPr="00C1619B">
        <w:rPr>
          <w:b/>
        </w:rPr>
        <w:t xml:space="preserve"> and Economics</w:t>
      </w:r>
      <w:r w:rsidR="00A437B2" w:rsidRPr="00C1619B">
        <w:rPr>
          <w:b/>
        </w:rPr>
        <w:t>)</w:t>
      </w:r>
      <w:r w:rsidR="001E5F6D" w:rsidRPr="00C1619B">
        <w:t xml:space="preserve"> </w:t>
      </w:r>
      <w:r w:rsidR="009C53EF" w:rsidRPr="00C1619B">
        <w:t>“</w:t>
      </w:r>
      <w:r w:rsidR="00E74D9C" w:rsidRPr="00E74D9C">
        <w:t>The Dynamics of Attention and Choice</w:t>
      </w:r>
      <w:r w:rsidR="009C53EF" w:rsidRPr="00C1619B">
        <w:t>”</w:t>
      </w:r>
    </w:p>
    <w:p w14:paraId="7EF7435B" w14:textId="77777777" w:rsidR="005A0332" w:rsidRPr="00055C46" w:rsidRDefault="005A0332" w:rsidP="005A0332">
      <w:pPr>
        <w:spacing w:after="80"/>
        <w:ind w:left="432"/>
      </w:pPr>
    </w:p>
    <w:p w14:paraId="7F4E8C03" w14:textId="241DCC7C" w:rsidR="00417E16" w:rsidRPr="005A0332" w:rsidRDefault="00A437B2" w:rsidP="00C407D0">
      <w:pPr>
        <w:spacing w:after="80"/>
        <w:rPr>
          <w:b/>
        </w:rPr>
      </w:pPr>
      <w:r w:rsidRPr="005A0332">
        <w:rPr>
          <w:b/>
        </w:rPr>
        <w:t>3:</w:t>
      </w:r>
      <w:r w:rsidR="0072626B" w:rsidRPr="005A0332">
        <w:rPr>
          <w:b/>
        </w:rPr>
        <w:t>30</w:t>
      </w:r>
      <w:r w:rsidRPr="005A0332">
        <w:rPr>
          <w:b/>
        </w:rPr>
        <w:tab/>
      </w:r>
      <w:r w:rsidR="006560B8">
        <w:rPr>
          <w:b/>
        </w:rPr>
        <w:t>P</w:t>
      </w:r>
      <w:r w:rsidR="008B4198" w:rsidRPr="005A0332">
        <w:rPr>
          <w:b/>
        </w:rPr>
        <w:t>resentations</w:t>
      </w:r>
      <w:r w:rsidR="006560B8">
        <w:rPr>
          <w:b/>
        </w:rPr>
        <w:t xml:space="preserve"> by our two First Prize</w:t>
      </w:r>
      <w:r w:rsidR="003A72EE" w:rsidRPr="005A0332">
        <w:rPr>
          <w:b/>
        </w:rPr>
        <w:t xml:space="preserve"> </w:t>
      </w:r>
      <w:r w:rsidR="006560B8">
        <w:rPr>
          <w:b/>
        </w:rPr>
        <w:t>winners at the Sixth Annual DSC Spring Research Forum</w:t>
      </w:r>
    </w:p>
    <w:p w14:paraId="39FC1642" w14:textId="3D9B3850" w:rsidR="003A72EE" w:rsidRPr="005A0332" w:rsidRDefault="00A437B2" w:rsidP="00E542DC">
      <w:pPr>
        <w:spacing w:after="80"/>
        <w:ind w:left="720"/>
        <w:rPr>
          <w:i/>
        </w:rPr>
      </w:pPr>
      <w:r w:rsidRPr="005A0332">
        <w:rPr>
          <w:i/>
        </w:rPr>
        <w:t xml:space="preserve">As part of this year’s Research Forum, </w:t>
      </w:r>
      <w:r w:rsidR="0018133F" w:rsidRPr="005A0332">
        <w:rPr>
          <w:i/>
        </w:rPr>
        <w:t>successful</w:t>
      </w:r>
      <w:r w:rsidRPr="005A0332">
        <w:rPr>
          <w:i/>
        </w:rPr>
        <w:t xml:space="preserve"> DSC </w:t>
      </w:r>
      <w:r w:rsidR="0018133F" w:rsidRPr="005A0332">
        <w:rPr>
          <w:i/>
        </w:rPr>
        <w:t xml:space="preserve">grantees from </w:t>
      </w:r>
      <w:r w:rsidRPr="005A0332">
        <w:rPr>
          <w:i/>
        </w:rPr>
        <w:t xml:space="preserve">past competitions were invited to submit </w:t>
      </w:r>
      <w:r w:rsidR="004B75B2" w:rsidRPr="005A0332">
        <w:rPr>
          <w:i/>
        </w:rPr>
        <w:t>abstracts</w:t>
      </w:r>
      <w:r w:rsidRPr="005A0332">
        <w:rPr>
          <w:i/>
        </w:rPr>
        <w:t xml:space="preserve">.  We chose two </w:t>
      </w:r>
      <w:r w:rsidR="004B75B2" w:rsidRPr="005A0332">
        <w:rPr>
          <w:i/>
        </w:rPr>
        <w:t>authors</w:t>
      </w:r>
      <w:r w:rsidRPr="005A0332">
        <w:rPr>
          <w:i/>
        </w:rPr>
        <w:t xml:space="preserve"> </w:t>
      </w:r>
      <w:r w:rsidR="006560B8">
        <w:rPr>
          <w:i/>
        </w:rPr>
        <w:t>to</w:t>
      </w:r>
      <w:r w:rsidRPr="005A0332">
        <w:rPr>
          <w:i/>
        </w:rPr>
        <w:t xml:space="preserve"> receive</w:t>
      </w:r>
      <w:r w:rsidR="006560B8">
        <w:rPr>
          <w:i/>
        </w:rPr>
        <w:t xml:space="preserve"> first prize, which includes</w:t>
      </w:r>
      <w:r w:rsidRPr="005A0332">
        <w:rPr>
          <w:i/>
        </w:rPr>
        <w:t xml:space="preserve"> $500 in research funds and </w:t>
      </w:r>
      <w:r w:rsidR="006560B8">
        <w:rPr>
          <w:i/>
        </w:rPr>
        <w:t>today’s</w:t>
      </w:r>
      <w:r w:rsidRPr="005A0332">
        <w:rPr>
          <w:i/>
        </w:rPr>
        <w:t xml:space="preserve"> </w:t>
      </w:r>
      <w:r w:rsidR="00AE6196" w:rsidRPr="005A0332">
        <w:rPr>
          <w:i/>
        </w:rPr>
        <w:t xml:space="preserve">15-minute </w:t>
      </w:r>
      <w:r w:rsidRPr="005A0332">
        <w:rPr>
          <w:i/>
        </w:rPr>
        <w:t xml:space="preserve">talk.  Please join me in congratulating </w:t>
      </w:r>
      <w:r w:rsidR="00C407D0" w:rsidRPr="005A0332">
        <w:rPr>
          <w:i/>
        </w:rPr>
        <w:t>them</w:t>
      </w:r>
      <w:r w:rsidRPr="005A0332">
        <w:rPr>
          <w:i/>
        </w:rPr>
        <w:t>!</w:t>
      </w:r>
    </w:p>
    <w:p w14:paraId="1DE6B80F" w14:textId="73252C9C" w:rsidR="00316EC5" w:rsidRPr="00316EC5" w:rsidRDefault="00AE6196" w:rsidP="00316EC5">
      <w:pPr>
        <w:spacing w:after="80"/>
        <w:ind w:left="720"/>
      </w:pPr>
      <w:r w:rsidRPr="00C407D0">
        <w:t>3:</w:t>
      </w:r>
      <w:r w:rsidR="00023F67" w:rsidRPr="00C407D0">
        <w:t>30</w:t>
      </w:r>
      <w:r w:rsidRPr="00C407D0">
        <w:t xml:space="preserve"> </w:t>
      </w:r>
      <w:r w:rsidR="00316EC5" w:rsidRPr="00316EC5">
        <w:rPr>
          <w:b/>
        </w:rPr>
        <w:t>Stephanie Smith and Ian Krajbich</w:t>
      </w:r>
      <w:r w:rsidR="00316EC5">
        <w:rPr>
          <w:b/>
        </w:rPr>
        <w:t xml:space="preserve"> (Psychology)</w:t>
      </w:r>
      <w:r w:rsidR="00316EC5" w:rsidRPr="00316EC5">
        <w:rPr>
          <w:b/>
        </w:rPr>
        <w:t xml:space="preserve"> </w:t>
      </w:r>
      <w:r w:rsidR="00316EC5" w:rsidRPr="00316EC5">
        <w:t>– “Choosing for others: The influence of incentives and similarity on the decision process”</w:t>
      </w:r>
    </w:p>
    <w:p w14:paraId="608B2861" w14:textId="5A016E33" w:rsidR="00A437B2" w:rsidRPr="00297436" w:rsidRDefault="00316EC5" w:rsidP="00316EC5">
      <w:pPr>
        <w:spacing w:after="80"/>
        <w:ind w:left="720"/>
        <w:rPr>
          <w:b/>
        </w:rPr>
      </w:pPr>
      <w:r>
        <w:t xml:space="preserve">3:50 </w:t>
      </w:r>
      <w:r w:rsidRPr="00316EC5">
        <w:rPr>
          <w:b/>
        </w:rPr>
        <w:t xml:space="preserve">Lei Jia and Xiaoyan Deng </w:t>
      </w:r>
      <w:r w:rsidR="007D3217">
        <w:rPr>
          <w:b/>
        </w:rPr>
        <w:t xml:space="preserve">(Marketing) </w:t>
      </w:r>
      <w:r w:rsidRPr="00316EC5">
        <w:t>– “Physically short, mentally flexible: Exploring the relationship between stature and creativity”</w:t>
      </w:r>
    </w:p>
    <w:p w14:paraId="5598FE55" w14:textId="77777777" w:rsidR="0047235A" w:rsidRDefault="0047235A" w:rsidP="003A72EE"/>
    <w:p w14:paraId="3FDB01E7" w14:textId="360F9474" w:rsidR="001513B2" w:rsidRDefault="00A437B2" w:rsidP="00E542DC">
      <w:pPr>
        <w:ind w:left="720" w:hanging="720"/>
        <w:rPr>
          <w:b/>
        </w:rPr>
      </w:pPr>
      <w:r w:rsidRPr="005A0332">
        <w:rPr>
          <w:b/>
        </w:rPr>
        <w:lastRenderedPageBreak/>
        <w:t>4</w:t>
      </w:r>
      <w:r w:rsidR="0072626B" w:rsidRPr="005A0332">
        <w:rPr>
          <w:b/>
        </w:rPr>
        <w:t>:1</w:t>
      </w:r>
      <w:r w:rsidR="00C23EC1" w:rsidRPr="005A0332">
        <w:rPr>
          <w:b/>
        </w:rPr>
        <w:t>5</w:t>
      </w:r>
      <w:r w:rsidR="005A0332">
        <w:rPr>
          <w:b/>
        </w:rPr>
        <w:tab/>
      </w:r>
      <w:r w:rsidR="003A72EE" w:rsidRPr="005A0332">
        <w:rPr>
          <w:b/>
        </w:rPr>
        <w:t xml:space="preserve">Poster session </w:t>
      </w:r>
      <w:r w:rsidRPr="005A0332">
        <w:rPr>
          <w:b/>
        </w:rPr>
        <w:t>with</w:t>
      </w:r>
      <w:r w:rsidR="003A72EE" w:rsidRPr="005A0332">
        <w:rPr>
          <w:b/>
        </w:rPr>
        <w:t xml:space="preserve"> appetizers and drinks</w:t>
      </w:r>
      <w:r w:rsidRPr="005A0332">
        <w:rPr>
          <w:b/>
        </w:rPr>
        <w:t>.</w:t>
      </w:r>
      <w:r w:rsidR="00E542DC">
        <w:rPr>
          <w:b/>
        </w:rPr>
        <w:t xml:space="preserve"> </w:t>
      </w:r>
      <w:r w:rsidR="00E542DC">
        <w:rPr>
          <w:b/>
        </w:rPr>
        <w:br/>
      </w:r>
      <w:r w:rsidR="001513B2" w:rsidRPr="00AE407B">
        <w:t xml:space="preserve">Poster information is on the </w:t>
      </w:r>
      <w:r w:rsidR="00AE407B" w:rsidRPr="00AE407B">
        <w:t>back</w:t>
      </w:r>
      <w:r w:rsidR="001513B2" w:rsidRPr="00AE407B">
        <w:t xml:space="preserve"> page!</w:t>
      </w:r>
    </w:p>
    <w:p w14:paraId="17B9D59E" w14:textId="77777777" w:rsidR="001513B2" w:rsidRPr="005A0332" w:rsidRDefault="001513B2" w:rsidP="00E542DC">
      <w:pPr>
        <w:ind w:left="720" w:hanging="720"/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520"/>
        <w:gridCol w:w="5130"/>
      </w:tblGrid>
      <w:tr w:rsidR="001513B2" w:rsidRPr="001513B2" w14:paraId="3C72C9B5" w14:textId="77777777" w:rsidTr="001513B2">
        <w:tc>
          <w:tcPr>
            <w:tcW w:w="2245" w:type="dxa"/>
          </w:tcPr>
          <w:p w14:paraId="62EF3CED" w14:textId="6A8A96D8" w:rsidR="001513B2" w:rsidRPr="001513B2" w:rsidRDefault="001513B2" w:rsidP="001513B2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513B2">
              <w:rPr>
                <w:rFonts w:asciiTheme="minorHAnsi" w:hAnsiTheme="minorHAnsi" w:cstheme="minorHAnsi"/>
                <w:b/>
              </w:rPr>
              <w:t>Poster Presenters</w:t>
            </w:r>
          </w:p>
        </w:tc>
        <w:tc>
          <w:tcPr>
            <w:tcW w:w="2520" w:type="dxa"/>
          </w:tcPr>
          <w:p w14:paraId="0F013135" w14:textId="1A430061" w:rsidR="001513B2" w:rsidRPr="001513B2" w:rsidRDefault="001513B2" w:rsidP="00EF0F4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513B2">
              <w:rPr>
                <w:rFonts w:asciiTheme="minorHAnsi" w:hAnsiTheme="minorHAnsi" w:cstheme="minorHAnsi"/>
                <w:b/>
              </w:rPr>
              <w:t>OSU Affiliation(s)</w:t>
            </w:r>
          </w:p>
        </w:tc>
        <w:tc>
          <w:tcPr>
            <w:tcW w:w="5130" w:type="dxa"/>
          </w:tcPr>
          <w:p w14:paraId="3BC98151" w14:textId="391F4784" w:rsidR="001513B2" w:rsidRPr="001513B2" w:rsidRDefault="001513B2" w:rsidP="00EF0F4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513B2">
              <w:rPr>
                <w:rFonts w:asciiTheme="minorHAnsi" w:hAnsiTheme="minorHAnsi" w:cstheme="minorHAnsi"/>
                <w:b/>
              </w:rPr>
              <w:t>Poster title</w:t>
            </w:r>
          </w:p>
        </w:tc>
      </w:tr>
      <w:tr w:rsidR="001513B2" w:rsidRPr="001513B2" w14:paraId="57340EED" w14:textId="77777777" w:rsidTr="001513B2">
        <w:tc>
          <w:tcPr>
            <w:tcW w:w="2245" w:type="dxa"/>
          </w:tcPr>
          <w:p w14:paraId="4FE4D31C" w14:textId="4F44C6D2" w:rsidR="001513B2" w:rsidRPr="001513B2" w:rsidRDefault="001513B2" w:rsidP="001513B2">
            <w:pPr>
              <w:contextualSpacing/>
              <w:rPr>
                <w:rFonts w:asciiTheme="minorHAnsi" w:eastAsiaTheme="majorEastAsia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Ian Adams </w:t>
            </w:r>
            <w:r w:rsidRPr="001513B2">
              <w:rPr>
                <w:rFonts w:asciiTheme="minorHAnsi" w:eastAsiaTheme="majorEastAsia" w:hAnsiTheme="minorHAnsi" w:cstheme="minorHAnsi"/>
              </w:rPr>
              <w:t xml:space="preserve">and Nicole Sintov </w:t>
            </w:r>
          </w:p>
        </w:tc>
        <w:tc>
          <w:tcPr>
            <w:tcW w:w="2520" w:type="dxa"/>
          </w:tcPr>
          <w:p w14:paraId="1883AAFF" w14:textId="3C244A67" w:rsidR="001513B2" w:rsidRPr="001513B2" w:rsidRDefault="001513B2" w:rsidP="001513B2">
            <w:pPr>
              <w:contextualSpacing/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School of Environment and Natural Resources</w:t>
            </w:r>
          </w:p>
        </w:tc>
        <w:tc>
          <w:tcPr>
            <w:tcW w:w="5130" w:type="dxa"/>
          </w:tcPr>
          <w:p w14:paraId="0E43B99A" w14:textId="77777777" w:rsidR="001513B2" w:rsidRPr="001513B2" w:rsidRDefault="001513B2" w:rsidP="00EF0F48">
            <w:pPr>
              <w:contextualSpacing/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“Carbon footprint feedback framing influences the cognitive and emotional pathways to consumption behavior”</w:t>
            </w:r>
          </w:p>
        </w:tc>
      </w:tr>
      <w:tr w:rsidR="001513B2" w:rsidRPr="001513B2" w14:paraId="1E0339E6" w14:textId="77777777" w:rsidTr="001513B2">
        <w:tc>
          <w:tcPr>
            <w:tcW w:w="2245" w:type="dxa"/>
          </w:tcPr>
          <w:p w14:paraId="21609F3E" w14:textId="77777777" w:rsidR="001513B2" w:rsidRPr="001513B2" w:rsidRDefault="001513B2" w:rsidP="00EF0F48">
            <w:pPr>
              <w:rPr>
                <w:rFonts w:asciiTheme="minorHAnsi" w:hAnsiTheme="minorHAnsi" w:cstheme="minorHAnsi"/>
                <w:u w:val="single"/>
              </w:rPr>
            </w:pPr>
            <w:r w:rsidRPr="001513B2">
              <w:rPr>
                <w:rFonts w:asciiTheme="minorHAnsi" w:hAnsiTheme="minorHAnsi" w:cstheme="minorHAnsi"/>
              </w:rPr>
              <w:t xml:space="preserve">Shivangi Bhardwaj &amp; Pär Bjalkebring </w:t>
            </w:r>
          </w:p>
        </w:tc>
        <w:tc>
          <w:tcPr>
            <w:tcW w:w="2520" w:type="dxa"/>
          </w:tcPr>
          <w:p w14:paraId="12C9D010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5130" w:type="dxa"/>
          </w:tcPr>
          <w:p w14:paraId="633FB4AD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“Numeracy and the Interpretation of Medical Information: How to Avoid Bias in Low Numerate populations”</w:t>
            </w:r>
          </w:p>
        </w:tc>
      </w:tr>
      <w:tr w:rsidR="001513B2" w:rsidRPr="001513B2" w14:paraId="56A1C05E" w14:textId="77777777" w:rsidTr="001513B2">
        <w:tc>
          <w:tcPr>
            <w:tcW w:w="2245" w:type="dxa"/>
          </w:tcPr>
          <w:p w14:paraId="7CD0F95A" w14:textId="77777777" w:rsidR="001513B2" w:rsidRPr="001513B2" w:rsidRDefault="001513B2" w:rsidP="00EF0F48">
            <w:pPr>
              <w:rPr>
                <w:rFonts w:asciiTheme="minorHAnsi" w:hAnsiTheme="minorHAnsi" w:cstheme="minorHAnsi"/>
                <w:u w:val="single"/>
              </w:rPr>
            </w:pPr>
            <w:r w:rsidRPr="001513B2">
              <w:rPr>
                <w:rFonts w:asciiTheme="minorHAnsi" w:hAnsiTheme="minorHAnsi" w:cstheme="minorHAnsi"/>
              </w:rPr>
              <w:t>Par Bjalkebring</w:t>
            </w:r>
            <w:r w:rsidRPr="001513B2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513B2">
              <w:rPr>
                <w:rFonts w:asciiTheme="minorHAnsi" w:hAnsiTheme="minorHAnsi" w:cstheme="minorHAnsi"/>
              </w:rPr>
              <w:t xml:space="preserve">&amp; Ellen Peters </w:t>
            </w:r>
          </w:p>
        </w:tc>
        <w:tc>
          <w:tcPr>
            <w:tcW w:w="2520" w:type="dxa"/>
          </w:tcPr>
          <w:p w14:paraId="77FAF8DD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5130" w:type="dxa"/>
          </w:tcPr>
          <w:p w14:paraId="722A2A32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“Negative affect influence objective numeracy”</w:t>
            </w:r>
          </w:p>
        </w:tc>
      </w:tr>
      <w:tr w:rsidR="001513B2" w:rsidRPr="001513B2" w14:paraId="7CD47DA4" w14:textId="77777777" w:rsidTr="001513B2">
        <w:tc>
          <w:tcPr>
            <w:tcW w:w="2245" w:type="dxa"/>
          </w:tcPr>
          <w:p w14:paraId="165DA7E6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Breanne Butters </w:t>
            </w:r>
          </w:p>
        </w:tc>
        <w:tc>
          <w:tcPr>
            <w:tcW w:w="2520" w:type="dxa"/>
          </w:tcPr>
          <w:p w14:paraId="21FEDC8D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Design</w:t>
            </w:r>
          </w:p>
        </w:tc>
        <w:tc>
          <w:tcPr>
            <w:tcW w:w="5130" w:type="dxa"/>
          </w:tcPr>
          <w:p w14:paraId="495FD754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“Debunking myths about contraceptive safety among women in Kingston, Jamaica: Randomized controlled trial.”</w:t>
            </w:r>
          </w:p>
        </w:tc>
      </w:tr>
      <w:tr w:rsidR="001513B2" w:rsidRPr="001513B2" w14:paraId="601B0639" w14:textId="77777777" w:rsidTr="001513B2">
        <w:tc>
          <w:tcPr>
            <w:tcW w:w="2245" w:type="dxa"/>
          </w:tcPr>
          <w:p w14:paraId="7EE4EB65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Ben Casner </w:t>
            </w:r>
          </w:p>
        </w:tc>
        <w:tc>
          <w:tcPr>
            <w:tcW w:w="2520" w:type="dxa"/>
          </w:tcPr>
          <w:p w14:paraId="2F277468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5130" w:type="dxa"/>
          </w:tcPr>
          <w:p w14:paraId="17A99738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“Learning While Shopping: An Experimental Investigation Into the Effect of Learning on Consumer Search”</w:t>
            </w:r>
          </w:p>
        </w:tc>
      </w:tr>
      <w:tr w:rsidR="001513B2" w:rsidRPr="001513B2" w14:paraId="1600EEB7" w14:textId="77777777" w:rsidTr="001513B2">
        <w:tc>
          <w:tcPr>
            <w:tcW w:w="2245" w:type="dxa"/>
          </w:tcPr>
          <w:p w14:paraId="07CAB278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Rachel Gwinn, Deniz Ozkardas, Julie Golomb, &amp; Ian Krajbich </w:t>
            </w:r>
          </w:p>
        </w:tc>
        <w:tc>
          <w:tcPr>
            <w:tcW w:w="2520" w:type="dxa"/>
          </w:tcPr>
          <w:p w14:paraId="062D5F71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 and Economics</w:t>
            </w:r>
          </w:p>
        </w:tc>
        <w:tc>
          <w:tcPr>
            <w:tcW w:w="5130" w:type="dxa"/>
          </w:tcPr>
          <w:p w14:paraId="15B32E39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“The Role of Attention in Value-Based Auditory Choice”</w:t>
            </w:r>
          </w:p>
        </w:tc>
      </w:tr>
      <w:tr w:rsidR="001513B2" w:rsidRPr="001513B2" w14:paraId="1ADD2836" w14:textId="77777777" w:rsidTr="001513B2">
        <w:tc>
          <w:tcPr>
            <w:tcW w:w="2245" w:type="dxa"/>
          </w:tcPr>
          <w:p w14:paraId="3CD2AA30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Ritesh Jain &amp; Kirby Nielsen   </w:t>
            </w:r>
          </w:p>
        </w:tc>
        <w:tc>
          <w:tcPr>
            <w:tcW w:w="2520" w:type="dxa"/>
          </w:tcPr>
          <w:p w14:paraId="78D7C6C1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5130" w:type="dxa"/>
          </w:tcPr>
          <w:p w14:paraId="08F0D9B8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“A Systematic Test of the Independence Axiom”</w:t>
            </w:r>
          </w:p>
        </w:tc>
      </w:tr>
      <w:tr w:rsidR="001513B2" w:rsidRPr="001513B2" w14:paraId="3C264E1C" w14:textId="77777777" w:rsidTr="001513B2">
        <w:tc>
          <w:tcPr>
            <w:tcW w:w="2245" w:type="dxa"/>
          </w:tcPr>
          <w:p w14:paraId="315C5438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Osub Kwon </w:t>
            </w:r>
          </w:p>
        </w:tc>
        <w:tc>
          <w:tcPr>
            <w:tcW w:w="2520" w:type="dxa"/>
          </w:tcPr>
          <w:p w14:paraId="3E17AF73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5130" w:type="dxa"/>
          </w:tcPr>
          <w:p w14:paraId="2DB2B714" w14:textId="77777777" w:rsidR="001513B2" w:rsidRPr="001513B2" w:rsidRDefault="001513B2" w:rsidP="00EF0F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“Sequential Ascending Clock Auction and the Declining Price Anomaly: An Experimental Study”</w:t>
            </w:r>
          </w:p>
        </w:tc>
      </w:tr>
      <w:tr w:rsidR="001513B2" w:rsidRPr="001513B2" w14:paraId="2E128839" w14:textId="77777777" w:rsidTr="001513B2">
        <w:tc>
          <w:tcPr>
            <w:tcW w:w="2245" w:type="dxa"/>
          </w:tcPr>
          <w:p w14:paraId="248F6BD4" w14:textId="77777777" w:rsidR="001513B2" w:rsidRPr="001513B2" w:rsidRDefault="001513B2" w:rsidP="00EF0F48">
            <w:pPr>
              <w:rPr>
                <w:rFonts w:asciiTheme="minorHAnsi" w:hAnsiTheme="minorHAnsi" w:cstheme="minorHAnsi"/>
                <w:u w:val="single"/>
              </w:rPr>
            </w:pPr>
            <w:r w:rsidRPr="001513B2">
              <w:rPr>
                <w:rFonts w:asciiTheme="minorHAnsi" w:hAnsiTheme="minorHAnsi" w:cstheme="minorHAnsi"/>
              </w:rPr>
              <w:t xml:space="preserve">Amanda Montoya &amp; Stephanie Smith </w:t>
            </w:r>
          </w:p>
        </w:tc>
        <w:tc>
          <w:tcPr>
            <w:tcW w:w="2520" w:type="dxa"/>
          </w:tcPr>
          <w:p w14:paraId="2D286DD2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5130" w:type="dxa"/>
          </w:tcPr>
          <w:p w14:paraId="0309E7E9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“Numeracy-Related Responding to Numeric Self-Report Scales”</w:t>
            </w:r>
          </w:p>
        </w:tc>
      </w:tr>
      <w:tr w:rsidR="001513B2" w:rsidRPr="001513B2" w14:paraId="3CE89E16" w14:textId="77777777" w:rsidTr="001513B2">
        <w:tc>
          <w:tcPr>
            <w:tcW w:w="2245" w:type="dxa"/>
          </w:tcPr>
          <w:p w14:paraId="1800BD7E" w14:textId="77777777" w:rsidR="001513B2" w:rsidRPr="001513B2" w:rsidRDefault="001513B2" w:rsidP="00EF0F48">
            <w:pPr>
              <w:rPr>
                <w:rFonts w:asciiTheme="minorHAnsi" w:hAnsiTheme="minorHAnsi" w:cstheme="minorHAnsi"/>
                <w:u w:val="single"/>
              </w:rPr>
            </w:pPr>
            <w:r w:rsidRPr="001513B2">
              <w:rPr>
                <w:rFonts w:asciiTheme="minorHAnsi" w:hAnsiTheme="minorHAnsi" w:cstheme="minorHAnsi"/>
              </w:rPr>
              <w:t xml:space="preserve">Scott Schwenter &amp; Kendra Dickinson </w:t>
            </w:r>
          </w:p>
        </w:tc>
        <w:tc>
          <w:tcPr>
            <w:tcW w:w="2520" w:type="dxa"/>
          </w:tcPr>
          <w:p w14:paraId="6F723987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Spanish and Portuguese</w:t>
            </w:r>
          </w:p>
        </w:tc>
        <w:tc>
          <w:tcPr>
            <w:tcW w:w="5130" w:type="dxa"/>
          </w:tcPr>
          <w:p w14:paraId="0C15D713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“(Not) Choosing Negative Concord”</w:t>
            </w:r>
          </w:p>
        </w:tc>
      </w:tr>
      <w:tr w:rsidR="001513B2" w:rsidRPr="001513B2" w14:paraId="7454AA22" w14:textId="77777777" w:rsidTr="001513B2">
        <w:tc>
          <w:tcPr>
            <w:tcW w:w="2245" w:type="dxa"/>
          </w:tcPr>
          <w:p w14:paraId="430595F2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 xml:space="preserve">Brittany Shoots-Reinhard &amp; Ellen Peters   </w:t>
            </w:r>
          </w:p>
        </w:tc>
        <w:tc>
          <w:tcPr>
            <w:tcW w:w="2520" w:type="dxa"/>
          </w:tcPr>
          <w:p w14:paraId="48564A97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5130" w:type="dxa"/>
          </w:tcPr>
          <w:p w14:paraId="31786F5A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“Numeric ability and intuitive understanding of probabilistic risk”</w:t>
            </w:r>
          </w:p>
        </w:tc>
      </w:tr>
      <w:tr w:rsidR="001513B2" w:rsidRPr="001513B2" w14:paraId="08DF4527" w14:textId="77777777" w:rsidTr="001513B2">
        <w:tc>
          <w:tcPr>
            <w:tcW w:w="2245" w:type="dxa"/>
          </w:tcPr>
          <w:p w14:paraId="6F0FBD67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Michael Silverstein, Pär Bjälkebring, &amp; Ellen Peters</w:t>
            </w:r>
          </w:p>
        </w:tc>
        <w:tc>
          <w:tcPr>
            <w:tcW w:w="2520" w:type="dxa"/>
          </w:tcPr>
          <w:p w14:paraId="49E21DB7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5130" w:type="dxa"/>
          </w:tcPr>
          <w:p w14:paraId="029AD4B8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“Developing an Adaptive Latent Trait Measure for Objective Numeracy”</w:t>
            </w:r>
          </w:p>
        </w:tc>
      </w:tr>
      <w:tr w:rsidR="001513B2" w:rsidRPr="001513B2" w14:paraId="4016E860" w14:textId="77777777" w:rsidTr="001513B2">
        <w:tc>
          <w:tcPr>
            <w:tcW w:w="2245" w:type="dxa"/>
          </w:tcPr>
          <w:p w14:paraId="786CA662" w14:textId="77777777" w:rsidR="001513B2" w:rsidRPr="001513B2" w:rsidRDefault="001513B2" w:rsidP="00EF0F48">
            <w:pPr>
              <w:rPr>
                <w:rFonts w:asciiTheme="minorHAnsi" w:hAnsiTheme="minorHAnsi" w:cstheme="minorHAnsi"/>
                <w:u w:val="single"/>
              </w:rPr>
            </w:pPr>
            <w:r w:rsidRPr="001513B2">
              <w:rPr>
                <w:rFonts w:asciiTheme="minorHAnsi" w:hAnsiTheme="minorHAnsi" w:cstheme="minorHAnsi"/>
              </w:rPr>
              <w:t>Hayley Svensson, Brittany Shoots-Reinhard, Tyler MacDonald, and Ellen Peters</w:t>
            </w:r>
          </w:p>
        </w:tc>
        <w:tc>
          <w:tcPr>
            <w:tcW w:w="2520" w:type="dxa"/>
          </w:tcPr>
          <w:p w14:paraId="7B37FDCB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5130" w:type="dxa"/>
          </w:tcPr>
          <w:p w14:paraId="2E103D92" w14:textId="77777777" w:rsidR="001513B2" w:rsidRPr="001513B2" w:rsidRDefault="001513B2" w:rsidP="00EF0F48">
            <w:pPr>
              <w:rPr>
                <w:rFonts w:asciiTheme="minorHAnsi" w:hAnsiTheme="minorHAnsi" w:cstheme="minorHAnsi"/>
              </w:rPr>
            </w:pPr>
            <w:r w:rsidRPr="001513B2">
              <w:rPr>
                <w:rFonts w:asciiTheme="minorHAnsi" w:hAnsiTheme="minorHAnsi" w:cstheme="minorHAnsi"/>
              </w:rPr>
              <w:t>“Numeracy and the Strength of Monetary versus Non-Monetary Incentives on Task Performance”</w:t>
            </w:r>
          </w:p>
        </w:tc>
      </w:tr>
    </w:tbl>
    <w:p w14:paraId="5B01EA42" w14:textId="0DAF90C0" w:rsidR="001513B2" w:rsidRDefault="001513B2" w:rsidP="00E542DC">
      <w:pPr>
        <w:sectPr w:rsidR="001513B2" w:rsidSect="00B929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C399A41" w14:textId="4163566B" w:rsidR="005A0332" w:rsidRDefault="005A0332" w:rsidP="003A72EE">
      <w:bookmarkStart w:id="0" w:name="_GoBack"/>
      <w:bookmarkEnd w:id="0"/>
    </w:p>
    <w:sectPr w:rsidR="005A0332" w:rsidSect="00E542D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49B7" w14:textId="77777777" w:rsidR="00E65107" w:rsidRDefault="00E65107" w:rsidP="0045246A">
      <w:pPr>
        <w:spacing w:after="0" w:line="240" w:lineRule="auto"/>
      </w:pPr>
      <w:r>
        <w:separator/>
      </w:r>
    </w:p>
  </w:endnote>
  <w:endnote w:type="continuationSeparator" w:id="0">
    <w:p w14:paraId="41FC780F" w14:textId="77777777" w:rsidR="00E65107" w:rsidRDefault="00E65107" w:rsidP="0045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87E3" w14:textId="77777777" w:rsidR="0045246A" w:rsidRDefault="0045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23D9" w14:textId="77777777" w:rsidR="0045246A" w:rsidRDefault="0045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4249" w14:textId="77777777" w:rsidR="0045246A" w:rsidRDefault="0045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3E9A" w14:textId="77777777" w:rsidR="00E65107" w:rsidRDefault="00E65107" w:rsidP="0045246A">
      <w:pPr>
        <w:spacing w:after="0" w:line="240" w:lineRule="auto"/>
      </w:pPr>
      <w:r>
        <w:separator/>
      </w:r>
    </w:p>
  </w:footnote>
  <w:footnote w:type="continuationSeparator" w:id="0">
    <w:p w14:paraId="02407447" w14:textId="77777777" w:rsidR="00E65107" w:rsidRDefault="00E65107" w:rsidP="0045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E32A" w14:textId="77777777" w:rsidR="0045246A" w:rsidRDefault="0045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D504" w14:textId="77777777" w:rsidR="0045246A" w:rsidRDefault="0045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BCC8" w14:textId="77777777" w:rsidR="0045246A" w:rsidRDefault="0045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EE"/>
    <w:rsid w:val="00023F67"/>
    <w:rsid w:val="00055C46"/>
    <w:rsid w:val="0006604F"/>
    <w:rsid w:val="000C4747"/>
    <w:rsid w:val="000E24D1"/>
    <w:rsid w:val="000E7EFD"/>
    <w:rsid w:val="00137BDB"/>
    <w:rsid w:val="001513B2"/>
    <w:rsid w:val="00152287"/>
    <w:rsid w:val="00160BE4"/>
    <w:rsid w:val="00164428"/>
    <w:rsid w:val="001702B7"/>
    <w:rsid w:val="0018133F"/>
    <w:rsid w:val="00182D99"/>
    <w:rsid w:val="00195EC7"/>
    <w:rsid w:val="001A632E"/>
    <w:rsid w:val="001B5044"/>
    <w:rsid w:val="001D210A"/>
    <w:rsid w:val="001E48F4"/>
    <w:rsid w:val="001E5F6D"/>
    <w:rsid w:val="001E6D97"/>
    <w:rsid w:val="001F43CE"/>
    <w:rsid w:val="002042B8"/>
    <w:rsid w:val="00205535"/>
    <w:rsid w:val="00211CA3"/>
    <w:rsid w:val="002549A9"/>
    <w:rsid w:val="00260357"/>
    <w:rsid w:val="0027034C"/>
    <w:rsid w:val="00274195"/>
    <w:rsid w:val="00297436"/>
    <w:rsid w:val="002A637E"/>
    <w:rsid w:val="002B068C"/>
    <w:rsid w:val="002D7890"/>
    <w:rsid w:val="002F65B9"/>
    <w:rsid w:val="00316EC5"/>
    <w:rsid w:val="00320B3C"/>
    <w:rsid w:val="00324F38"/>
    <w:rsid w:val="003432FD"/>
    <w:rsid w:val="003469D7"/>
    <w:rsid w:val="00380618"/>
    <w:rsid w:val="003A72EE"/>
    <w:rsid w:val="003B0C11"/>
    <w:rsid w:val="003D7925"/>
    <w:rsid w:val="003F4950"/>
    <w:rsid w:val="004024F6"/>
    <w:rsid w:val="00410738"/>
    <w:rsid w:val="00417E16"/>
    <w:rsid w:val="0045246A"/>
    <w:rsid w:val="004551B6"/>
    <w:rsid w:val="004617F1"/>
    <w:rsid w:val="00461BF8"/>
    <w:rsid w:val="0047235A"/>
    <w:rsid w:val="004B75B2"/>
    <w:rsid w:val="004C0D30"/>
    <w:rsid w:val="004E2229"/>
    <w:rsid w:val="005175B7"/>
    <w:rsid w:val="00523361"/>
    <w:rsid w:val="00542265"/>
    <w:rsid w:val="0055007D"/>
    <w:rsid w:val="0056541A"/>
    <w:rsid w:val="005A0332"/>
    <w:rsid w:val="005A4033"/>
    <w:rsid w:val="005A4907"/>
    <w:rsid w:val="005F3817"/>
    <w:rsid w:val="005F55AF"/>
    <w:rsid w:val="006153F7"/>
    <w:rsid w:val="006164C7"/>
    <w:rsid w:val="0062539B"/>
    <w:rsid w:val="006416E2"/>
    <w:rsid w:val="006560B8"/>
    <w:rsid w:val="00660216"/>
    <w:rsid w:val="006631A6"/>
    <w:rsid w:val="00671A9A"/>
    <w:rsid w:val="006E714F"/>
    <w:rsid w:val="007175CF"/>
    <w:rsid w:val="0072626B"/>
    <w:rsid w:val="00760702"/>
    <w:rsid w:val="0078027C"/>
    <w:rsid w:val="00785AB9"/>
    <w:rsid w:val="007A18D4"/>
    <w:rsid w:val="007B13D0"/>
    <w:rsid w:val="007D12CF"/>
    <w:rsid w:val="007D3217"/>
    <w:rsid w:val="007F1766"/>
    <w:rsid w:val="00811514"/>
    <w:rsid w:val="00820143"/>
    <w:rsid w:val="00896C9D"/>
    <w:rsid w:val="008B4198"/>
    <w:rsid w:val="008E2B73"/>
    <w:rsid w:val="00902BF6"/>
    <w:rsid w:val="00904385"/>
    <w:rsid w:val="009510A2"/>
    <w:rsid w:val="00963C90"/>
    <w:rsid w:val="009B61A3"/>
    <w:rsid w:val="009C53EF"/>
    <w:rsid w:val="009F657D"/>
    <w:rsid w:val="00A0639C"/>
    <w:rsid w:val="00A068BC"/>
    <w:rsid w:val="00A14120"/>
    <w:rsid w:val="00A35B4E"/>
    <w:rsid w:val="00A437B2"/>
    <w:rsid w:val="00A44F2C"/>
    <w:rsid w:val="00A57D30"/>
    <w:rsid w:val="00A71D69"/>
    <w:rsid w:val="00A73C68"/>
    <w:rsid w:val="00AA1FFC"/>
    <w:rsid w:val="00AB3EF1"/>
    <w:rsid w:val="00AE407B"/>
    <w:rsid w:val="00AE6196"/>
    <w:rsid w:val="00B277BF"/>
    <w:rsid w:val="00B31836"/>
    <w:rsid w:val="00B5530A"/>
    <w:rsid w:val="00B8134B"/>
    <w:rsid w:val="00B84859"/>
    <w:rsid w:val="00B9291F"/>
    <w:rsid w:val="00B97B65"/>
    <w:rsid w:val="00BC1FFF"/>
    <w:rsid w:val="00BE4324"/>
    <w:rsid w:val="00C1619B"/>
    <w:rsid w:val="00C23EC1"/>
    <w:rsid w:val="00C407D0"/>
    <w:rsid w:val="00C41F93"/>
    <w:rsid w:val="00C57294"/>
    <w:rsid w:val="00C577E8"/>
    <w:rsid w:val="00C71361"/>
    <w:rsid w:val="00CA1682"/>
    <w:rsid w:val="00CC6A6D"/>
    <w:rsid w:val="00CC6D48"/>
    <w:rsid w:val="00CD6D9C"/>
    <w:rsid w:val="00D249E5"/>
    <w:rsid w:val="00D32648"/>
    <w:rsid w:val="00D37715"/>
    <w:rsid w:val="00D8083E"/>
    <w:rsid w:val="00D93A3E"/>
    <w:rsid w:val="00DB6628"/>
    <w:rsid w:val="00DF7693"/>
    <w:rsid w:val="00E047E9"/>
    <w:rsid w:val="00E51D35"/>
    <w:rsid w:val="00E542DC"/>
    <w:rsid w:val="00E65107"/>
    <w:rsid w:val="00E74D9C"/>
    <w:rsid w:val="00EB1356"/>
    <w:rsid w:val="00EB39C4"/>
    <w:rsid w:val="00EE1CB8"/>
    <w:rsid w:val="00EE6833"/>
    <w:rsid w:val="00EF0A37"/>
    <w:rsid w:val="00F04E47"/>
    <w:rsid w:val="00F06A1B"/>
    <w:rsid w:val="00F41AE8"/>
    <w:rsid w:val="00F556DA"/>
    <w:rsid w:val="00FB1B01"/>
    <w:rsid w:val="00FC09F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8F3A2"/>
  <w15:docId w15:val="{46CF59D8-7F93-4B07-9529-F7F8E10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4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8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6A"/>
  </w:style>
  <w:style w:type="paragraph" w:styleId="Footer">
    <w:name w:val="footer"/>
    <w:basedOn w:val="Normal"/>
    <w:link w:val="FooterChar"/>
    <w:uiPriority w:val="99"/>
    <w:unhideWhenUsed/>
    <w:rsid w:val="004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6A"/>
  </w:style>
  <w:style w:type="character" w:styleId="Hyperlink">
    <w:name w:val="Hyperlink"/>
    <w:basedOn w:val="DefaultParagraphFont"/>
    <w:uiPriority w:val="99"/>
    <w:semiHidden/>
    <w:unhideWhenUsed/>
    <w:rsid w:val="005A0332"/>
    <w:rPr>
      <w:color w:val="0000FF"/>
      <w:u w:val="single"/>
    </w:rPr>
  </w:style>
  <w:style w:type="table" w:styleId="TableGrid">
    <w:name w:val="Table Grid"/>
    <w:basedOn w:val="TableNormal"/>
    <w:uiPriority w:val="59"/>
    <w:rsid w:val="001513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247AB1-3050-401D-96E9-54E6B9B22E5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124DED-2823-40B0-84B5-5F1F6A6182DD}">
      <dgm:prSet phldrT="[Text]"/>
      <dgm:spPr>
        <a:solidFill>
          <a:srgbClr val="BB0000"/>
        </a:solidFill>
      </dgm:spPr>
      <dgm:t>
        <a:bodyPr/>
        <a:lstStyle/>
        <a:p>
          <a:pPr algn="ctr"/>
          <a:r>
            <a:rPr lang="en-US"/>
            <a:t>Decision Sciences Collaborative</a:t>
          </a:r>
        </a:p>
      </dgm:t>
    </dgm:pt>
    <dgm:pt modelId="{FA2A324A-D864-4EF1-979E-2CC74AE84AB4}" type="parTrans" cxnId="{8D7D593A-63DA-413E-880F-8837A46675B0}">
      <dgm:prSet/>
      <dgm:spPr/>
      <dgm:t>
        <a:bodyPr/>
        <a:lstStyle/>
        <a:p>
          <a:pPr algn="ctr"/>
          <a:endParaRPr lang="en-US"/>
        </a:p>
      </dgm:t>
    </dgm:pt>
    <dgm:pt modelId="{D72BC549-74BB-442D-807F-9A566AAF243B}" type="sibTrans" cxnId="{8D7D593A-63DA-413E-880F-8837A46675B0}">
      <dgm:prSet/>
      <dgm:spPr/>
      <dgm:t>
        <a:bodyPr/>
        <a:lstStyle/>
        <a:p>
          <a:pPr algn="ctr"/>
          <a:endParaRPr lang="en-US"/>
        </a:p>
      </dgm:t>
    </dgm:pt>
    <dgm:pt modelId="{24F0D703-D10B-4098-9FA5-DE08A8E805DA}">
      <dgm:prSet phldrT="[Text]" custT="1"/>
      <dgm:spPr>
        <a:solidFill>
          <a:srgbClr val="787878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en-US" sz="2000" i="1">
              <a:solidFill>
                <a:sysClr val="windowText" lastClr="000000"/>
              </a:solidFill>
            </a:rPr>
            <a:t>Sixth Annual Spring Research Forum</a:t>
          </a:r>
        </a:p>
        <a:p>
          <a:pPr algn="ctr">
            <a:spcAft>
              <a:spcPts val="0"/>
            </a:spcAft>
          </a:pPr>
          <a:r>
            <a:rPr lang="en-US" sz="1600" i="1">
              <a:solidFill>
                <a:sysClr val="windowText" lastClr="000000"/>
              </a:solidFill>
            </a:rPr>
            <a:t>Tuesday, March 26, 2019, 3:00-5:30 pm</a:t>
          </a:r>
        </a:p>
        <a:p>
          <a:pPr algn="ctr">
            <a:spcAft>
              <a:spcPct val="35000"/>
            </a:spcAft>
          </a:pPr>
          <a:r>
            <a:rPr lang="en-US" sz="1600" i="1">
              <a:solidFill>
                <a:sysClr val="windowText" lastClr="000000"/>
              </a:solidFill>
            </a:rPr>
            <a:t>Psych 035 &amp; Lobby</a:t>
          </a:r>
        </a:p>
      </dgm:t>
    </dgm:pt>
    <dgm:pt modelId="{762ECB85-7AF9-4CC3-9DEE-0BE77F0DB499}" type="parTrans" cxnId="{0C2A3316-A2F1-4C94-8CD2-844FAD7BA486}">
      <dgm:prSet/>
      <dgm:spPr/>
      <dgm:t>
        <a:bodyPr/>
        <a:lstStyle/>
        <a:p>
          <a:pPr algn="ctr"/>
          <a:endParaRPr lang="en-US"/>
        </a:p>
      </dgm:t>
    </dgm:pt>
    <dgm:pt modelId="{A2A41C93-51AA-44C3-BC15-DBFA6CA9583E}" type="sibTrans" cxnId="{0C2A3316-A2F1-4C94-8CD2-844FAD7BA486}">
      <dgm:prSet/>
      <dgm:spPr/>
      <dgm:t>
        <a:bodyPr/>
        <a:lstStyle/>
        <a:p>
          <a:pPr algn="ctr"/>
          <a:endParaRPr lang="en-US"/>
        </a:p>
      </dgm:t>
    </dgm:pt>
    <dgm:pt modelId="{3CD582C5-A16B-46AD-B7B7-03D7D3D8F2D8}" type="pres">
      <dgm:prSet presAssocID="{B2247AB1-3050-401D-96E9-54E6B9B22E5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9DEAD1-E3BC-4C1A-95F7-154B1B6AC1EB}" type="pres">
      <dgm:prSet presAssocID="{B2124DED-2823-40B0-84B5-5F1F6A6182DD}" presName="node" presStyleLbl="node1" presStyleIdx="0" presStyleCnt="2" custScaleX="3430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903F99-51F4-4CB2-A4CF-C0C5C921D3ED}" type="pres">
      <dgm:prSet presAssocID="{D72BC549-74BB-442D-807F-9A566AAF243B}" presName="sibTrans" presStyleCnt="0"/>
      <dgm:spPr/>
    </dgm:pt>
    <dgm:pt modelId="{9E7D6983-0390-4710-9690-65EEDBAFE761}" type="pres">
      <dgm:prSet presAssocID="{24F0D703-D10B-4098-9FA5-DE08A8E805DA}" presName="node" presStyleLbl="node1" presStyleIdx="1" presStyleCnt="2" custScaleX="342475" custLinFactNeighborX="-575" custLinFactNeighborY="-204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2A3316-A2F1-4C94-8CD2-844FAD7BA486}" srcId="{B2247AB1-3050-401D-96E9-54E6B9B22E55}" destId="{24F0D703-D10B-4098-9FA5-DE08A8E805DA}" srcOrd="1" destOrd="0" parTransId="{762ECB85-7AF9-4CC3-9DEE-0BE77F0DB499}" sibTransId="{A2A41C93-51AA-44C3-BC15-DBFA6CA9583E}"/>
    <dgm:cxn modelId="{8D7D593A-63DA-413E-880F-8837A46675B0}" srcId="{B2247AB1-3050-401D-96E9-54E6B9B22E55}" destId="{B2124DED-2823-40B0-84B5-5F1F6A6182DD}" srcOrd="0" destOrd="0" parTransId="{FA2A324A-D864-4EF1-979E-2CC74AE84AB4}" sibTransId="{D72BC549-74BB-442D-807F-9A566AAF243B}"/>
    <dgm:cxn modelId="{94ED9279-F1EE-4AF3-B546-ED140F5F3AE6}" type="presOf" srcId="{B2247AB1-3050-401D-96E9-54E6B9B22E55}" destId="{3CD582C5-A16B-46AD-B7B7-03D7D3D8F2D8}" srcOrd="0" destOrd="0" presId="urn:microsoft.com/office/officeart/2005/8/layout/default"/>
    <dgm:cxn modelId="{B3221F8A-8DD2-4ACB-AF82-136226318DD1}" type="presOf" srcId="{B2124DED-2823-40B0-84B5-5F1F6A6182DD}" destId="{E59DEAD1-E3BC-4C1A-95F7-154B1B6AC1EB}" srcOrd="0" destOrd="0" presId="urn:microsoft.com/office/officeart/2005/8/layout/default"/>
    <dgm:cxn modelId="{A625FFD1-D92A-4B21-9D4A-1AAB5D241C67}" type="presOf" srcId="{24F0D703-D10B-4098-9FA5-DE08A8E805DA}" destId="{9E7D6983-0390-4710-9690-65EEDBAFE761}" srcOrd="0" destOrd="0" presId="urn:microsoft.com/office/officeart/2005/8/layout/default"/>
    <dgm:cxn modelId="{C277F6B8-2103-4880-B6D3-16D7B9461DCD}" type="presParOf" srcId="{3CD582C5-A16B-46AD-B7B7-03D7D3D8F2D8}" destId="{E59DEAD1-E3BC-4C1A-95F7-154B1B6AC1EB}" srcOrd="0" destOrd="0" presId="urn:microsoft.com/office/officeart/2005/8/layout/default"/>
    <dgm:cxn modelId="{959588E9-7978-4EE0-B11F-E64F0CAB2AE4}" type="presParOf" srcId="{3CD582C5-A16B-46AD-B7B7-03D7D3D8F2D8}" destId="{7E903F99-51F4-4CB2-A4CF-C0C5C921D3ED}" srcOrd="1" destOrd="0" presId="urn:microsoft.com/office/officeart/2005/8/layout/default"/>
    <dgm:cxn modelId="{B951D438-8730-4A6D-AA45-3B4B2C3F3668}" type="presParOf" srcId="{3CD582C5-A16B-46AD-B7B7-03D7D3D8F2D8}" destId="{9E7D6983-0390-4710-9690-65EEDBAFE761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9DEAD1-E3BC-4C1A-95F7-154B1B6AC1EB}">
      <dsp:nvSpPr>
        <dsp:cNvPr id="0" name=""/>
        <dsp:cNvSpPr/>
      </dsp:nvSpPr>
      <dsp:spPr>
        <a:xfrm>
          <a:off x="206770" y="1699"/>
          <a:ext cx="5072858" cy="887253"/>
        </a:xfrm>
        <a:prstGeom prst="rect">
          <a:avLst/>
        </a:prstGeom>
        <a:solidFill>
          <a:srgbClr val="BB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Decision Sciences Collaborative</a:t>
          </a:r>
        </a:p>
      </dsp:txBody>
      <dsp:txXfrm>
        <a:off x="206770" y="1699"/>
        <a:ext cx="5072858" cy="887253"/>
      </dsp:txXfrm>
    </dsp:sp>
    <dsp:sp modelId="{9E7D6983-0390-4710-9690-65EEDBAFE761}">
      <dsp:nvSpPr>
        <dsp:cNvPr id="0" name=""/>
        <dsp:cNvSpPr/>
      </dsp:nvSpPr>
      <dsp:spPr>
        <a:xfrm>
          <a:off x="202511" y="855163"/>
          <a:ext cx="5064370" cy="887253"/>
        </a:xfrm>
        <a:prstGeom prst="rect">
          <a:avLst/>
        </a:prstGeom>
        <a:solidFill>
          <a:srgbClr val="78787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i="1" kern="1200">
              <a:solidFill>
                <a:sysClr val="windowText" lastClr="000000"/>
              </a:solidFill>
            </a:rPr>
            <a:t>Sixth Annual Spring Research Forum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i="1" kern="1200">
              <a:solidFill>
                <a:sysClr val="windowText" lastClr="000000"/>
              </a:solidFill>
            </a:rPr>
            <a:t>Tuesday, March 26, 2019, 3:00-5:30 pm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>
              <a:solidFill>
                <a:sysClr val="windowText" lastClr="000000"/>
              </a:solidFill>
            </a:rPr>
            <a:t>Psych 035 &amp; Lobby</a:t>
          </a:r>
        </a:p>
      </dsp:txBody>
      <dsp:txXfrm>
        <a:off x="202511" y="855163"/>
        <a:ext cx="5064370" cy="887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A99A-46A0-4B9F-8A71-90951D4A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Psychology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Peters</dc:creator>
  <cp:lastModifiedBy>Peters, Ellen M.</cp:lastModifiedBy>
  <cp:revision>20</cp:revision>
  <cp:lastPrinted>2018-02-23T16:22:00Z</cp:lastPrinted>
  <dcterms:created xsi:type="dcterms:W3CDTF">2019-01-04T16:06:00Z</dcterms:created>
  <dcterms:modified xsi:type="dcterms:W3CDTF">2019-03-16T19:57:00Z</dcterms:modified>
</cp:coreProperties>
</file>